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0C9" w:rsidRPr="002940C9" w:rsidRDefault="002940C9" w:rsidP="002940C9">
      <w:pPr>
        <w:spacing w:after="0"/>
        <w:ind w:firstLine="0"/>
        <w:contextualSpacing/>
        <w:jc w:val="center"/>
        <w:rPr>
          <w:rFonts w:cs="Times New Roman"/>
          <w:color w:val="1B1B1B"/>
          <w:sz w:val="28"/>
          <w:szCs w:val="27"/>
          <w:u w:val="single"/>
          <w:shd w:val="clear" w:color="auto" w:fill="FFFFFF"/>
        </w:rPr>
      </w:pPr>
      <w:bookmarkStart w:id="0" w:name="_GoBack"/>
      <w:r w:rsidRPr="002940C9">
        <w:t xml:space="preserve">The </w:t>
      </w:r>
      <w:r w:rsidRPr="002940C9">
        <w:t>Effect of Body Position on Heart Rate</w:t>
      </w:r>
    </w:p>
    <w:bookmarkEnd w:id="0"/>
    <w:p w:rsidR="00AE5A05" w:rsidRDefault="00AE5A05" w:rsidP="00AE5A05">
      <w:pPr>
        <w:spacing w:after="0"/>
        <w:ind w:firstLine="0"/>
        <w:contextualSpacing/>
        <w:rPr>
          <w:rFonts w:cs="Times New Roman"/>
          <w:color w:val="1B1B1B"/>
          <w:szCs w:val="27"/>
          <w:u w:val="single"/>
          <w:shd w:val="clear" w:color="auto" w:fill="FFFFFF"/>
        </w:rPr>
      </w:pPr>
      <w:r w:rsidRPr="00AE5A05">
        <w:rPr>
          <w:rFonts w:cs="Times New Roman"/>
          <w:color w:val="1B1B1B"/>
          <w:szCs w:val="27"/>
          <w:u w:val="single"/>
          <w:shd w:val="clear" w:color="auto" w:fill="FFFFFF"/>
        </w:rPr>
        <w:t>Introduction</w:t>
      </w:r>
    </w:p>
    <w:p w:rsidR="00AE5A05" w:rsidRPr="00AE5A05" w:rsidRDefault="002718FC" w:rsidP="00AE5A05">
      <w:pPr>
        <w:spacing w:after="0"/>
        <w:contextualSpacing/>
        <w:rPr>
          <w:rFonts w:cs="Times New Roman"/>
          <w:color w:val="1B1B1B"/>
          <w:szCs w:val="27"/>
          <w:shd w:val="clear" w:color="auto" w:fill="FFFFFF"/>
        </w:rPr>
      </w:pPr>
      <w:r>
        <w:rPr>
          <w:rFonts w:cs="Times New Roman"/>
          <w:color w:val="1B1B1B"/>
          <w:szCs w:val="27"/>
          <w:shd w:val="clear" w:color="auto" w:fill="FFFFFF"/>
        </w:rPr>
        <w:t>Changes in</w:t>
      </w:r>
      <w:r w:rsidR="00AE5A05" w:rsidRPr="00AE5A05">
        <w:rPr>
          <w:rFonts w:cs="Times New Roman"/>
          <w:color w:val="1B1B1B"/>
          <w:szCs w:val="27"/>
          <w:shd w:val="clear" w:color="auto" w:fill="FFFFFF"/>
        </w:rPr>
        <w:t xml:space="preserve"> cardiovascular responses</w:t>
      </w:r>
      <w:r>
        <w:rPr>
          <w:rFonts w:cs="Times New Roman"/>
          <w:color w:val="1B1B1B"/>
          <w:szCs w:val="27"/>
          <w:shd w:val="clear" w:color="auto" w:fill="FFFFFF"/>
        </w:rPr>
        <w:t xml:space="preserve"> in both differ depending on the environment factors, the level of body activity or</w:t>
      </w:r>
      <w:r w:rsidR="00AE5A05">
        <w:rPr>
          <w:rFonts w:cs="Times New Roman"/>
          <w:color w:val="1B1B1B"/>
          <w:szCs w:val="27"/>
          <w:shd w:val="clear" w:color="auto" w:fill="FFFFFF"/>
        </w:rPr>
        <w:t xml:space="preserve"> postural changes from sitting to standing</w:t>
      </w:r>
      <w:r>
        <w:rPr>
          <w:rFonts w:cs="Times New Roman"/>
          <w:color w:val="1B1B1B"/>
          <w:szCs w:val="27"/>
          <w:shd w:val="clear" w:color="auto" w:fill="FFFFFF"/>
        </w:rPr>
        <w:t xml:space="preserve">. Such </w:t>
      </w:r>
      <w:r>
        <w:rPr>
          <w:rFonts w:cs="Times New Roman"/>
          <w:color w:val="1B1B1B"/>
          <w:szCs w:val="27"/>
          <w:shd w:val="clear" w:color="auto" w:fill="FFFFFF"/>
        </w:rPr>
        <w:t>postural</w:t>
      </w:r>
      <w:r>
        <w:rPr>
          <w:rFonts w:cs="Times New Roman"/>
          <w:color w:val="1B1B1B"/>
          <w:szCs w:val="27"/>
          <w:shd w:val="clear" w:color="auto" w:fill="FFFFFF"/>
        </w:rPr>
        <w:t xml:space="preserve"> changes</w:t>
      </w:r>
      <w:r w:rsidR="00AE5A05">
        <w:rPr>
          <w:rFonts w:cs="Times New Roman"/>
          <w:color w:val="1B1B1B"/>
          <w:szCs w:val="27"/>
          <w:shd w:val="clear" w:color="auto" w:fill="FFFFFF"/>
        </w:rPr>
        <w:t xml:space="preserve"> play important role in the interaction between the autonomic nervous system and the cerebral </w:t>
      </w:r>
      <w:r>
        <w:rPr>
          <w:rFonts w:cs="Times New Roman"/>
          <w:color w:val="1B1B1B"/>
          <w:szCs w:val="27"/>
          <w:shd w:val="clear" w:color="auto" w:fill="FFFFFF"/>
        </w:rPr>
        <w:t>perfusion</w:t>
      </w:r>
      <w:r w:rsidR="00AE5A05">
        <w:rPr>
          <w:rFonts w:cs="Times New Roman"/>
          <w:color w:val="1B1B1B"/>
          <w:szCs w:val="27"/>
          <w:shd w:val="clear" w:color="auto" w:fill="FFFFFF"/>
        </w:rPr>
        <w:t>. The purpose of this laboratory experiment</w:t>
      </w:r>
      <w:r>
        <w:rPr>
          <w:rFonts w:cs="Times New Roman"/>
          <w:color w:val="1B1B1B"/>
          <w:szCs w:val="27"/>
          <w:shd w:val="clear" w:color="auto" w:fill="FFFFFF"/>
        </w:rPr>
        <w:t xml:space="preserve"> therefore</w:t>
      </w:r>
      <w:r w:rsidR="00AE5A05">
        <w:rPr>
          <w:rFonts w:cs="Times New Roman"/>
          <w:color w:val="1B1B1B"/>
          <w:szCs w:val="27"/>
          <w:shd w:val="clear" w:color="auto" w:fill="FFFFFF"/>
        </w:rPr>
        <w:t xml:space="preserve"> was to understand the importance </w:t>
      </w:r>
      <w:r>
        <w:rPr>
          <w:rFonts w:cs="Times New Roman"/>
          <w:color w:val="1B1B1B"/>
          <w:szCs w:val="27"/>
          <w:shd w:val="clear" w:color="auto" w:fill="FFFFFF"/>
        </w:rPr>
        <w:t>different body position and the role such positions play in the flow of blood and heart rate</w:t>
      </w:r>
      <w:r w:rsidR="00AE5A05">
        <w:rPr>
          <w:rFonts w:cs="Times New Roman"/>
          <w:color w:val="1B1B1B"/>
          <w:szCs w:val="27"/>
          <w:shd w:val="clear" w:color="auto" w:fill="FFFFFF"/>
        </w:rPr>
        <w:t xml:space="preserve">. The lab report hypothesized that </w:t>
      </w:r>
      <w:r w:rsidR="00AE5A05" w:rsidRPr="00AE5A05">
        <w:rPr>
          <w:rFonts w:cs="Times New Roman"/>
          <w:color w:val="1B1B1B"/>
          <w:szCs w:val="27"/>
          <w:shd w:val="clear" w:color="auto" w:fill="FFFFFF"/>
        </w:rPr>
        <w:t>Dominant arm will have lower/higher force production than the non-do</w:t>
      </w:r>
      <w:r w:rsidR="00AE5A05">
        <w:rPr>
          <w:rFonts w:cs="Times New Roman"/>
          <w:color w:val="1B1B1B"/>
          <w:szCs w:val="27"/>
          <w:shd w:val="clear" w:color="auto" w:fill="FFFFFF"/>
        </w:rPr>
        <w:t xml:space="preserve">minant arm. The </w:t>
      </w:r>
    </w:p>
    <w:p w:rsidR="00AE5A05" w:rsidRDefault="00AE5A05" w:rsidP="00AE5A05">
      <w:pPr>
        <w:spacing w:after="0"/>
        <w:ind w:firstLine="0"/>
        <w:contextualSpacing/>
        <w:rPr>
          <w:rFonts w:cs="Times New Roman"/>
          <w:color w:val="1B1B1B"/>
          <w:szCs w:val="27"/>
          <w:u w:val="single"/>
          <w:shd w:val="clear" w:color="auto" w:fill="FFFFFF"/>
        </w:rPr>
      </w:pPr>
      <w:r w:rsidRPr="00AE5A05">
        <w:rPr>
          <w:rFonts w:cs="Times New Roman"/>
          <w:color w:val="1B1B1B"/>
          <w:szCs w:val="27"/>
          <w:u w:val="single"/>
          <w:shd w:val="clear" w:color="auto" w:fill="FFFFFF"/>
        </w:rPr>
        <w:t>Methods</w:t>
      </w:r>
    </w:p>
    <w:p w:rsidR="00AE5A05" w:rsidRPr="00AE5A05" w:rsidRDefault="00AE5A05" w:rsidP="00AE5A05">
      <w:pPr>
        <w:spacing w:after="0"/>
        <w:contextualSpacing/>
        <w:rPr>
          <w:rFonts w:cs="Times New Roman"/>
          <w:color w:val="1B1B1B"/>
          <w:szCs w:val="27"/>
          <w:shd w:val="clear" w:color="auto" w:fill="FFFFFF"/>
        </w:rPr>
      </w:pPr>
      <w:r>
        <w:rPr>
          <w:rFonts w:cs="Times New Roman"/>
          <w:color w:val="1B1B1B"/>
          <w:szCs w:val="27"/>
          <w:shd w:val="clear" w:color="auto" w:fill="FFFFFF"/>
        </w:rPr>
        <w:t xml:space="preserve">This laboratory experiment utilized a single make subject by </w:t>
      </w:r>
      <w:r>
        <w:t xml:space="preserve">measuring psychology behind the changes in the blood pressure during the postural control experiment. The blood pressure was measured from the </w:t>
      </w:r>
      <w:r>
        <w:t xml:space="preserve">brachial artery </w:t>
      </w:r>
      <w:r>
        <w:t>using</w:t>
      </w:r>
      <w:r>
        <w:t xml:space="preserve"> sphygmomanometer</w:t>
      </w:r>
      <w:r>
        <w:t xml:space="preserve">. </w:t>
      </w:r>
      <w:r>
        <w:rPr>
          <w:rFonts w:cs="Times New Roman"/>
          <w:color w:val="1B1B1B"/>
          <w:szCs w:val="27"/>
          <w:shd w:val="clear" w:color="auto" w:fill="FFFFFF"/>
        </w:rPr>
        <w:t xml:space="preserve"> </w:t>
      </w:r>
      <w:r w:rsidR="002718FC">
        <w:rPr>
          <w:rFonts w:cs="Times New Roman"/>
          <w:color w:val="1B1B1B"/>
          <w:szCs w:val="27"/>
          <w:shd w:val="clear" w:color="auto" w:fill="FFFFFF"/>
        </w:rPr>
        <w:t xml:space="preserve">The Heart rate </w:t>
      </w:r>
      <w:r>
        <w:rPr>
          <w:rFonts w:cs="Times New Roman"/>
          <w:color w:val="1B1B1B"/>
          <w:szCs w:val="27"/>
          <w:shd w:val="clear" w:color="auto" w:fill="FFFFFF"/>
        </w:rPr>
        <w:t xml:space="preserve">was measured </w:t>
      </w:r>
      <w:r>
        <w:t>via radial plus 10 second</w:t>
      </w:r>
      <w:r>
        <w:t xml:space="preserve"> while the individual was placed at different position during the experiment. First, the subject was </w:t>
      </w:r>
      <w:r w:rsidR="002940C9">
        <w:t xml:space="preserve">laid down </w:t>
      </w:r>
      <w:r w:rsidR="002940C9">
        <w:t>for</w:t>
      </w:r>
      <w:r w:rsidR="002940C9">
        <w:t xml:space="preserve"> 5 minute</w:t>
      </w:r>
      <w:r w:rsidR="002940C9">
        <w:t xml:space="preserve"> with blood pressure and the HR me </w:t>
      </w:r>
      <w:r w:rsidR="002940C9">
        <w:t>measured during at least 30 second</w:t>
      </w:r>
      <w:r w:rsidR="002940C9">
        <w:t xml:space="preserve">. Secondly the subject was </w:t>
      </w:r>
      <w:r w:rsidR="002940C9">
        <w:t>helped to sitting</w:t>
      </w:r>
      <w:r w:rsidR="002940C9">
        <w:t xml:space="preserve"> and blood pressure and </w:t>
      </w:r>
      <w:r w:rsidR="002718FC">
        <w:t>Heart rate</w:t>
      </w:r>
      <w:r w:rsidR="002940C9">
        <w:t xml:space="preserve"> </w:t>
      </w:r>
      <w:r w:rsidR="002940C9">
        <w:t>measured immediately and then 60 second later</w:t>
      </w:r>
      <w:r w:rsidR="002940C9">
        <w:t xml:space="preserve"> while later the </w:t>
      </w:r>
      <w:r w:rsidR="002940C9">
        <w:t>subj</w:t>
      </w:r>
      <w:r w:rsidR="002940C9">
        <w:t xml:space="preserve">ect’s BP and HR were measured after being helped to stand. The final part of this experiment measured the subject’s BP and HR while allowing him to support </w:t>
      </w:r>
      <w:r w:rsidR="002940C9">
        <w:t>his own weight during standing</w:t>
      </w:r>
      <w:r w:rsidR="002940C9">
        <w:t>.</w:t>
      </w:r>
    </w:p>
    <w:p w:rsidR="00AE5A05" w:rsidRPr="00AE5A05" w:rsidRDefault="00AE5A05" w:rsidP="00AE5A05">
      <w:pPr>
        <w:spacing w:after="0"/>
        <w:ind w:firstLine="0"/>
        <w:contextualSpacing/>
        <w:rPr>
          <w:rFonts w:cs="Times New Roman"/>
          <w:color w:val="1B1B1B"/>
          <w:szCs w:val="27"/>
          <w:u w:val="single"/>
          <w:shd w:val="clear" w:color="auto" w:fill="FFFFFF"/>
        </w:rPr>
      </w:pPr>
      <w:r w:rsidRPr="00AE5A05">
        <w:rPr>
          <w:rFonts w:cs="Times New Roman"/>
          <w:color w:val="1B1B1B"/>
          <w:szCs w:val="27"/>
          <w:u w:val="single"/>
          <w:shd w:val="clear" w:color="auto" w:fill="FFFFFF"/>
        </w:rPr>
        <w:t>Results</w:t>
      </w:r>
    </w:p>
    <w:p w:rsidR="00AE5A05" w:rsidRDefault="002940C9" w:rsidP="00AE5A05">
      <w:pPr>
        <w:spacing w:after="0"/>
        <w:contextualSpacing/>
        <w:jc w:val="center"/>
      </w:pPr>
      <w:r>
        <w:t>Measurement</w:t>
      </w:r>
    </w:p>
    <w:p w:rsidR="002940C9" w:rsidRPr="002940C9" w:rsidRDefault="002940C9" w:rsidP="002940C9">
      <w:pPr>
        <w:pStyle w:val="Caption"/>
        <w:keepNext/>
        <w:rPr>
          <w:b w:val="0"/>
          <w:color w:val="auto"/>
          <w:sz w:val="22"/>
        </w:rPr>
      </w:pPr>
      <w:r w:rsidRPr="002940C9">
        <w:rPr>
          <w:b w:val="0"/>
          <w:color w:val="auto"/>
          <w:sz w:val="22"/>
        </w:rPr>
        <w:t xml:space="preserve">Table </w:t>
      </w:r>
      <w:r w:rsidRPr="002940C9">
        <w:rPr>
          <w:b w:val="0"/>
          <w:color w:val="auto"/>
          <w:sz w:val="22"/>
        </w:rPr>
        <w:fldChar w:fldCharType="begin"/>
      </w:r>
      <w:r w:rsidRPr="002940C9">
        <w:rPr>
          <w:b w:val="0"/>
          <w:color w:val="auto"/>
          <w:sz w:val="22"/>
        </w:rPr>
        <w:instrText xml:space="preserve"> SEQ Table \* ARABIC </w:instrText>
      </w:r>
      <w:r w:rsidRPr="002940C9">
        <w:rPr>
          <w:b w:val="0"/>
          <w:color w:val="auto"/>
          <w:sz w:val="22"/>
        </w:rPr>
        <w:fldChar w:fldCharType="separate"/>
      </w:r>
      <w:r w:rsidRPr="002940C9">
        <w:rPr>
          <w:b w:val="0"/>
          <w:noProof/>
          <w:color w:val="auto"/>
          <w:sz w:val="22"/>
        </w:rPr>
        <w:t>1</w:t>
      </w:r>
      <w:r w:rsidRPr="002940C9">
        <w:rPr>
          <w:b w:val="0"/>
          <w:color w:val="auto"/>
          <w:sz w:val="22"/>
        </w:rPr>
        <w:fldChar w:fldCharType="end"/>
      </w:r>
      <w:r w:rsidRPr="002940C9">
        <w:rPr>
          <w:b w:val="0"/>
          <w:color w:val="auto"/>
          <w:sz w:val="22"/>
        </w:rPr>
        <w:t>: The effect of body position on heart rate</w:t>
      </w:r>
    </w:p>
    <w:tbl>
      <w:tblPr>
        <w:tblStyle w:val="TableGrid"/>
        <w:tblW w:w="0" w:type="auto"/>
        <w:tblLook w:val="04A0" w:firstRow="1" w:lastRow="0" w:firstColumn="1" w:lastColumn="0" w:noHBand="0" w:noVBand="1"/>
      </w:tblPr>
      <w:tblGrid>
        <w:gridCol w:w="1596"/>
        <w:gridCol w:w="1596"/>
        <w:gridCol w:w="1596"/>
        <w:gridCol w:w="1596"/>
        <w:gridCol w:w="1596"/>
      </w:tblGrid>
      <w:tr w:rsidR="002940C9" w:rsidTr="002940C9">
        <w:tc>
          <w:tcPr>
            <w:tcW w:w="1596" w:type="dxa"/>
          </w:tcPr>
          <w:p w:rsidR="002940C9" w:rsidRDefault="002940C9" w:rsidP="002940C9">
            <w:pPr>
              <w:ind w:firstLine="0"/>
              <w:contextualSpacing/>
              <w:rPr>
                <w:rFonts w:cs="Times New Roman"/>
                <w:sz w:val="22"/>
              </w:rPr>
            </w:pPr>
            <w:r>
              <w:rPr>
                <w:rFonts w:cs="Times New Roman"/>
                <w:sz w:val="22"/>
              </w:rPr>
              <w:t>Time point</w:t>
            </w:r>
          </w:p>
        </w:tc>
        <w:tc>
          <w:tcPr>
            <w:tcW w:w="1596" w:type="dxa"/>
          </w:tcPr>
          <w:p w:rsidR="002940C9" w:rsidRDefault="002940C9" w:rsidP="002940C9">
            <w:pPr>
              <w:ind w:firstLine="0"/>
              <w:contextualSpacing/>
              <w:rPr>
                <w:rFonts w:cs="Times New Roman"/>
                <w:sz w:val="22"/>
              </w:rPr>
            </w:pPr>
            <w:r>
              <w:rPr>
                <w:rFonts w:cs="Times New Roman"/>
                <w:sz w:val="22"/>
              </w:rPr>
              <w:t>SBP</w:t>
            </w:r>
          </w:p>
        </w:tc>
        <w:tc>
          <w:tcPr>
            <w:tcW w:w="1596" w:type="dxa"/>
          </w:tcPr>
          <w:p w:rsidR="002940C9" w:rsidRDefault="002940C9" w:rsidP="002940C9">
            <w:pPr>
              <w:ind w:firstLine="0"/>
              <w:contextualSpacing/>
              <w:rPr>
                <w:rFonts w:cs="Times New Roman"/>
                <w:sz w:val="22"/>
              </w:rPr>
            </w:pPr>
            <w:r>
              <w:rPr>
                <w:rFonts w:cs="Times New Roman"/>
                <w:sz w:val="22"/>
              </w:rPr>
              <w:t>DBP</w:t>
            </w:r>
          </w:p>
        </w:tc>
        <w:tc>
          <w:tcPr>
            <w:tcW w:w="1596" w:type="dxa"/>
          </w:tcPr>
          <w:p w:rsidR="002940C9" w:rsidRDefault="002940C9" w:rsidP="002940C9">
            <w:pPr>
              <w:ind w:firstLine="0"/>
              <w:contextualSpacing/>
              <w:rPr>
                <w:rFonts w:cs="Times New Roman"/>
                <w:sz w:val="22"/>
              </w:rPr>
            </w:pPr>
            <w:r>
              <w:rPr>
                <w:rFonts w:cs="Times New Roman"/>
                <w:sz w:val="22"/>
              </w:rPr>
              <w:t>MAP</w:t>
            </w:r>
          </w:p>
        </w:tc>
        <w:tc>
          <w:tcPr>
            <w:tcW w:w="1596" w:type="dxa"/>
          </w:tcPr>
          <w:p w:rsidR="002940C9" w:rsidRDefault="002940C9" w:rsidP="002940C9">
            <w:pPr>
              <w:ind w:firstLine="0"/>
              <w:contextualSpacing/>
              <w:rPr>
                <w:rFonts w:cs="Times New Roman"/>
                <w:sz w:val="22"/>
              </w:rPr>
            </w:pPr>
            <w:r>
              <w:rPr>
                <w:rFonts w:cs="Times New Roman"/>
                <w:sz w:val="22"/>
              </w:rPr>
              <w:t>HR</w:t>
            </w:r>
          </w:p>
        </w:tc>
      </w:tr>
      <w:tr w:rsidR="002940C9" w:rsidTr="002940C9">
        <w:tc>
          <w:tcPr>
            <w:tcW w:w="1596" w:type="dxa"/>
          </w:tcPr>
          <w:p w:rsidR="002940C9" w:rsidRDefault="002940C9" w:rsidP="002940C9">
            <w:pPr>
              <w:ind w:firstLine="0"/>
              <w:contextualSpacing/>
              <w:rPr>
                <w:rFonts w:cs="Times New Roman"/>
                <w:sz w:val="22"/>
              </w:rPr>
            </w:pPr>
            <w:r>
              <w:rPr>
                <w:rFonts w:cs="Times New Roman"/>
                <w:sz w:val="22"/>
              </w:rPr>
              <w:lastRenderedPageBreak/>
              <w:t>Supine</w:t>
            </w:r>
          </w:p>
        </w:tc>
        <w:tc>
          <w:tcPr>
            <w:tcW w:w="1596" w:type="dxa"/>
          </w:tcPr>
          <w:p w:rsidR="002940C9" w:rsidRDefault="002940C9" w:rsidP="002940C9">
            <w:pPr>
              <w:ind w:firstLine="0"/>
              <w:contextualSpacing/>
              <w:rPr>
                <w:rFonts w:cs="Times New Roman"/>
                <w:sz w:val="22"/>
              </w:rPr>
            </w:pPr>
            <w:r>
              <w:rPr>
                <w:rFonts w:cs="Times New Roman"/>
                <w:sz w:val="22"/>
              </w:rPr>
              <w:t>110</w:t>
            </w:r>
          </w:p>
        </w:tc>
        <w:tc>
          <w:tcPr>
            <w:tcW w:w="1596" w:type="dxa"/>
          </w:tcPr>
          <w:p w:rsidR="002940C9" w:rsidRDefault="002940C9" w:rsidP="002940C9">
            <w:pPr>
              <w:ind w:firstLine="0"/>
              <w:contextualSpacing/>
              <w:rPr>
                <w:rFonts w:cs="Times New Roman"/>
                <w:sz w:val="22"/>
              </w:rPr>
            </w:pPr>
            <w:r>
              <w:rPr>
                <w:rFonts w:cs="Times New Roman"/>
                <w:sz w:val="22"/>
              </w:rPr>
              <w:t>70</w:t>
            </w:r>
          </w:p>
        </w:tc>
        <w:tc>
          <w:tcPr>
            <w:tcW w:w="1596" w:type="dxa"/>
          </w:tcPr>
          <w:p w:rsidR="002940C9" w:rsidRDefault="002940C9" w:rsidP="002940C9">
            <w:pPr>
              <w:ind w:firstLine="0"/>
              <w:contextualSpacing/>
              <w:rPr>
                <w:rFonts w:cs="Times New Roman"/>
                <w:sz w:val="22"/>
              </w:rPr>
            </w:pPr>
            <w:r>
              <w:rPr>
                <w:rFonts w:cs="Times New Roman"/>
                <w:sz w:val="22"/>
              </w:rPr>
              <w:t>83</w:t>
            </w:r>
          </w:p>
        </w:tc>
        <w:tc>
          <w:tcPr>
            <w:tcW w:w="1596" w:type="dxa"/>
          </w:tcPr>
          <w:p w:rsidR="002940C9" w:rsidRDefault="002940C9" w:rsidP="002940C9">
            <w:pPr>
              <w:ind w:firstLine="0"/>
              <w:contextualSpacing/>
              <w:rPr>
                <w:rFonts w:cs="Times New Roman"/>
                <w:sz w:val="22"/>
              </w:rPr>
            </w:pPr>
            <w:r>
              <w:rPr>
                <w:rFonts w:cs="Times New Roman"/>
                <w:sz w:val="22"/>
              </w:rPr>
              <w:t>40</w:t>
            </w:r>
          </w:p>
        </w:tc>
      </w:tr>
      <w:tr w:rsidR="002940C9" w:rsidTr="002940C9">
        <w:tc>
          <w:tcPr>
            <w:tcW w:w="1596" w:type="dxa"/>
          </w:tcPr>
          <w:p w:rsidR="002940C9" w:rsidRDefault="002940C9" w:rsidP="002940C9">
            <w:pPr>
              <w:ind w:firstLine="0"/>
              <w:contextualSpacing/>
              <w:rPr>
                <w:rFonts w:cs="Times New Roman"/>
                <w:sz w:val="22"/>
              </w:rPr>
            </w:pPr>
            <w:r>
              <w:rPr>
                <w:rFonts w:cs="Times New Roman"/>
                <w:sz w:val="22"/>
              </w:rPr>
              <w:t>Sitting</w:t>
            </w:r>
          </w:p>
        </w:tc>
        <w:tc>
          <w:tcPr>
            <w:tcW w:w="1596" w:type="dxa"/>
          </w:tcPr>
          <w:p w:rsidR="002940C9" w:rsidRDefault="002940C9" w:rsidP="002940C9">
            <w:pPr>
              <w:ind w:firstLine="0"/>
              <w:contextualSpacing/>
              <w:rPr>
                <w:rFonts w:cs="Times New Roman"/>
                <w:sz w:val="22"/>
              </w:rPr>
            </w:pPr>
            <w:r>
              <w:rPr>
                <w:rFonts w:cs="Times New Roman"/>
                <w:sz w:val="22"/>
              </w:rPr>
              <w:t>100</w:t>
            </w:r>
          </w:p>
        </w:tc>
        <w:tc>
          <w:tcPr>
            <w:tcW w:w="1596" w:type="dxa"/>
          </w:tcPr>
          <w:p w:rsidR="002940C9" w:rsidRDefault="002940C9" w:rsidP="002940C9">
            <w:pPr>
              <w:ind w:firstLine="0"/>
              <w:contextualSpacing/>
              <w:rPr>
                <w:rFonts w:cs="Times New Roman"/>
                <w:sz w:val="22"/>
              </w:rPr>
            </w:pPr>
            <w:r>
              <w:rPr>
                <w:rFonts w:cs="Times New Roman"/>
                <w:sz w:val="22"/>
              </w:rPr>
              <w:t>71</w:t>
            </w:r>
          </w:p>
        </w:tc>
        <w:tc>
          <w:tcPr>
            <w:tcW w:w="1596" w:type="dxa"/>
          </w:tcPr>
          <w:p w:rsidR="002940C9" w:rsidRDefault="002940C9" w:rsidP="002940C9">
            <w:pPr>
              <w:ind w:firstLine="0"/>
              <w:contextualSpacing/>
              <w:rPr>
                <w:rFonts w:cs="Times New Roman"/>
                <w:sz w:val="22"/>
              </w:rPr>
            </w:pPr>
            <w:r>
              <w:rPr>
                <w:rFonts w:cs="Times New Roman"/>
                <w:sz w:val="22"/>
              </w:rPr>
              <w:t>81</w:t>
            </w:r>
          </w:p>
        </w:tc>
        <w:tc>
          <w:tcPr>
            <w:tcW w:w="1596" w:type="dxa"/>
          </w:tcPr>
          <w:p w:rsidR="002940C9" w:rsidRDefault="002940C9" w:rsidP="002940C9">
            <w:pPr>
              <w:ind w:firstLine="0"/>
              <w:contextualSpacing/>
              <w:rPr>
                <w:rFonts w:cs="Times New Roman"/>
                <w:sz w:val="22"/>
              </w:rPr>
            </w:pPr>
            <w:r>
              <w:rPr>
                <w:rFonts w:cs="Times New Roman"/>
                <w:sz w:val="22"/>
              </w:rPr>
              <w:t>42</w:t>
            </w:r>
          </w:p>
        </w:tc>
      </w:tr>
      <w:tr w:rsidR="002940C9" w:rsidTr="002940C9">
        <w:tc>
          <w:tcPr>
            <w:tcW w:w="1596" w:type="dxa"/>
          </w:tcPr>
          <w:p w:rsidR="002940C9" w:rsidRDefault="002940C9" w:rsidP="002940C9">
            <w:pPr>
              <w:ind w:firstLine="0"/>
              <w:contextualSpacing/>
              <w:rPr>
                <w:rFonts w:cs="Times New Roman"/>
                <w:sz w:val="22"/>
              </w:rPr>
            </w:pPr>
            <w:r>
              <w:rPr>
                <w:rFonts w:cs="Times New Roman"/>
                <w:sz w:val="22"/>
              </w:rPr>
              <w:t>Sitting+1</w:t>
            </w:r>
          </w:p>
        </w:tc>
        <w:tc>
          <w:tcPr>
            <w:tcW w:w="1596" w:type="dxa"/>
          </w:tcPr>
          <w:p w:rsidR="002940C9" w:rsidRDefault="002940C9" w:rsidP="002940C9">
            <w:pPr>
              <w:ind w:firstLine="0"/>
              <w:contextualSpacing/>
              <w:rPr>
                <w:rFonts w:cs="Times New Roman"/>
                <w:sz w:val="22"/>
              </w:rPr>
            </w:pPr>
            <w:r>
              <w:rPr>
                <w:rFonts w:cs="Times New Roman"/>
                <w:sz w:val="22"/>
              </w:rPr>
              <w:t>106</w:t>
            </w:r>
          </w:p>
        </w:tc>
        <w:tc>
          <w:tcPr>
            <w:tcW w:w="1596" w:type="dxa"/>
          </w:tcPr>
          <w:p w:rsidR="002940C9" w:rsidRDefault="002940C9" w:rsidP="002940C9">
            <w:pPr>
              <w:ind w:firstLine="0"/>
              <w:contextualSpacing/>
              <w:rPr>
                <w:rFonts w:cs="Times New Roman"/>
                <w:sz w:val="22"/>
              </w:rPr>
            </w:pPr>
            <w:r>
              <w:rPr>
                <w:rFonts w:cs="Times New Roman"/>
                <w:sz w:val="22"/>
              </w:rPr>
              <w:t>73</w:t>
            </w:r>
          </w:p>
        </w:tc>
        <w:tc>
          <w:tcPr>
            <w:tcW w:w="1596" w:type="dxa"/>
          </w:tcPr>
          <w:p w:rsidR="002940C9" w:rsidRDefault="002940C9" w:rsidP="002940C9">
            <w:pPr>
              <w:ind w:firstLine="0"/>
              <w:contextualSpacing/>
              <w:rPr>
                <w:rFonts w:cs="Times New Roman"/>
                <w:sz w:val="22"/>
              </w:rPr>
            </w:pPr>
            <w:r>
              <w:rPr>
                <w:rFonts w:cs="Times New Roman"/>
                <w:sz w:val="22"/>
              </w:rPr>
              <w:t>84</w:t>
            </w:r>
          </w:p>
        </w:tc>
        <w:tc>
          <w:tcPr>
            <w:tcW w:w="1596" w:type="dxa"/>
          </w:tcPr>
          <w:p w:rsidR="002940C9" w:rsidRDefault="002940C9" w:rsidP="002940C9">
            <w:pPr>
              <w:ind w:firstLine="0"/>
              <w:contextualSpacing/>
              <w:rPr>
                <w:rFonts w:cs="Times New Roman"/>
                <w:sz w:val="22"/>
              </w:rPr>
            </w:pPr>
            <w:r>
              <w:rPr>
                <w:rFonts w:cs="Times New Roman"/>
                <w:sz w:val="22"/>
              </w:rPr>
              <w:t>50</w:t>
            </w:r>
          </w:p>
        </w:tc>
      </w:tr>
      <w:tr w:rsidR="002940C9" w:rsidTr="002940C9">
        <w:tc>
          <w:tcPr>
            <w:tcW w:w="1596" w:type="dxa"/>
          </w:tcPr>
          <w:p w:rsidR="002940C9" w:rsidRDefault="002940C9" w:rsidP="002940C9">
            <w:pPr>
              <w:ind w:firstLine="0"/>
              <w:contextualSpacing/>
              <w:rPr>
                <w:rFonts w:cs="Times New Roman"/>
                <w:sz w:val="22"/>
              </w:rPr>
            </w:pPr>
            <w:r>
              <w:rPr>
                <w:rFonts w:cs="Times New Roman"/>
                <w:sz w:val="22"/>
              </w:rPr>
              <w:t>Standing</w:t>
            </w:r>
          </w:p>
        </w:tc>
        <w:tc>
          <w:tcPr>
            <w:tcW w:w="1596" w:type="dxa"/>
          </w:tcPr>
          <w:p w:rsidR="002940C9" w:rsidRDefault="002940C9" w:rsidP="002940C9">
            <w:pPr>
              <w:ind w:firstLine="0"/>
              <w:contextualSpacing/>
              <w:rPr>
                <w:rFonts w:cs="Times New Roman"/>
                <w:sz w:val="22"/>
              </w:rPr>
            </w:pPr>
            <w:r>
              <w:rPr>
                <w:rFonts w:cs="Times New Roman"/>
                <w:sz w:val="22"/>
              </w:rPr>
              <w:t>93</w:t>
            </w:r>
          </w:p>
        </w:tc>
        <w:tc>
          <w:tcPr>
            <w:tcW w:w="1596" w:type="dxa"/>
          </w:tcPr>
          <w:p w:rsidR="002940C9" w:rsidRDefault="002940C9" w:rsidP="002940C9">
            <w:pPr>
              <w:ind w:firstLine="0"/>
              <w:contextualSpacing/>
              <w:rPr>
                <w:rFonts w:cs="Times New Roman"/>
                <w:sz w:val="22"/>
              </w:rPr>
            </w:pPr>
            <w:r>
              <w:rPr>
                <w:rFonts w:cs="Times New Roman"/>
                <w:sz w:val="22"/>
              </w:rPr>
              <w:t>72</w:t>
            </w:r>
          </w:p>
        </w:tc>
        <w:tc>
          <w:tcPr>
            <w:tcW w:w="1596" w:type="dxa"/>
          </w:tcPr>
          <w:p w:rsidR="002940C9" w:rsidRDefault="002940C9" w:rsidP="002940C9">
            <w:pPr>
              <w:ind w:firstLine="0"/>
              <w:contextualSpacing/>
              <w:rPr>
                <w:rFonts w:cs="Times New Roman"/>
                <w:sz w:val="22"/>
              </w:rPr>
            </w:pPr>
            <w:r>
              <w:rPr>
                <w:rFonts w:cs="Times New Roman"/>
                <w:sz w:val="22"/>
              </w:rPr>
              <w:t>80</w:t>
            </w:r>
          </w:p>
        </w:tc>
        <w:tc>
          <w:tcPr>
            <w:tcW w:w="1596" w:type="dxa"/>
          </w:tcPr>
          <w:p w:rsidR="002940C9" w:rsidRDefault="002940C9" w:rsidP="002940C9">
            <w:pPr>
              <w:ind w:firstLine="0"/>
              <w:contextualSpacing/>
              <w:rPr>
                <w:rFonts w:cs="Times New Roman"/>
                <w:sz w:val="22"/>
              </w:rPr>
            </w:pPr>
            <w:r>
              <w:rPr>
                <w:rFonts w:cs="Times New Roman"/>
                <w:sz w:val="22"/>
              </w:rPr>
              <w:t>51</w:t>
            </w:r>
          </w:p>
        </w:tc>
      </w:tr>
      <w:tr w:rsidR="002940C9" w:rsidTr="002940C9">
        <w:tc>
          <w:tcPr>
            <w:tcW w:w="1596" w:type="dxa"/>
          </w:tcPr>
          <w:p w:rsidR="002940C9" w:rsidRDefault="002940C9" w:rsidP="002940C9">
            <w:pPr>
              <w:ind w:firstLine="0"/>
              <w:contextualSpacing/>
              <w:rPr>
                <w:rFonts w:cs="Times New Roman"/>
                <w:sz w:val="22"/>
              </w:rPr>
            </w:pPr>
            <w:r>
              <w:rPr>
                <w:rFonts w:cs="Times New Roman"/>
                <w:sz w:val="22"/>
              </w:rPr>
              <w:t>Standing+1</w:t>
            </w:r>
          </w:p>
        </w:tc>
        <w:tc>
          <w:tcPr>
            <w:tcW w:w="1596" w:type="dxa"/>
          </w:tcPr>
          <w:p w:rsidR="002940C9" w:rsidRDefault="002940C9" w:rsidP="002940C9">
            <w:pPr>
              <w:ind w:firstLine="0"/>
              <w:contextualSpacing/>
              <w:rPr>
                <w:rFonts w:cs="Times New Roman"/>
                <w:sz w:val="22"/>
              </w:rPr>
            </w:pPr>
            <w:r>
              <w:rPr>
                <w:rFonts w:cs="Times New Roman"/>
                <w:sz w:val="22"/>
              </w:rPr>
              <w:t>110</w:t>
            </w:r>
          </w:p>
        </w:tc>
        <w:tc>
          <w:tcPr>
            <w:tcW w:w="1596" w:type="dxa"/>
          </w:tcPr>
          <w:p w:rsidR="002940C9" w:rsidRDefault="002940C9" w:rsidP="002940C9">
            <w:pPr>
              <w:ind w:firstLine="0"/>
              <w:contextualSpacing/>
              <w:rPr>
                <w:rFonts w:cs="Times New Roman"/>
                <w:sz w:val="22"/>
              </w:rPr>
            </w:pPr>
            <w:r>
              <w:rPr>
                <w:rFonts w:cs="Times New Roman"/>
                <w:sz w:val="22"/>
              </w:rPr>
              <w:t>75</w:t>
            </w:r>
          </w:p>
        </w:tc>
        <w:tc>
          <w:tcPr>
            <w:tcW w:w="1596" w:type="dxa"/>
          </w:tcPr>
          <w:p w:rsidR="002940C9" w:rsidRDefault="002940C9" w:rsidP="002940C9">
            <w:pPr>
              <w:ind w:firstLine="0"/>
              <w:contextualSpacing/>
              <w:rPr>
                <w:rFonts w:cs="Times New Roman"/>
                <w:sz w:val="22"/>
              </w:rPr>
            </w:pPr>
            <w:r>
              <w:rPr>
                <w:rFonts w:cs="Times New Roman"/>
                <w:sz w:val="22"/>
              </w:rPr>
              <w:t>87</w:t>
            </w:r>
          </w:p>
        </w:tc>
        <w:tc>
          <w:tcPr>
            <w:tcW w:w="1596" w:type="dxa"/>
          </w:tcPr>
          <w:p w:rsidR="002940C9" w:rsidRDefault="002940C9" w:rsidP="002940C9">
            <w:pPr>
              <w:ind w:firstLine="0"/>
              <w:contextualSpacing/>
              <w:rPr>
                <w:rFonts w:cs="Times New Roman"/>
                <w:sz w:val="22"/>
              </w:rPr>
            </w:pPr>
            <w:r>
              <w:rPr>
                <w:rFonts w:cs="Times New Roman"/>
                <w:sz w:val="22"/>
              </w:rPr>
              <w:t>60</w:t>
            </w:r>
          </w:p>
        </w:tc>
      </w:tr>
    </w:tbl>
    <w:p w:rsidR="002940C9" w:rsidRDefault="002940C9" w:rsidP="002940C9">
      <w:pPr>
        <w:spacing w:after="0"/>
        <w:contextualSpacing/>
        <w:rPr>
          <w:rFonts w:cs="Times New Roman"/>
          <w:sz w:val="22"/>
        </w:rPr>
      </w:pPr>
    </w:p>
    <w:p w:rsidR="002940C9" w:rsidRDefault="002940C9" w:rsidP="002940C9">
      <w:pPr>
        <w:pStyle w:val="Caption"/>
      </w:pPr>
      <w:r>
        <w:rPr>
          <w:noProof/>
        </w:rPr>
        <w:drawing>
          <wp:inline distT="0" distB="0" distL="0" distR="0" wp14:anchorId="291F173A" wp14:editId="28CAD0DB">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940C9" w:rsidRDefault="002940C9" w:rsidP="002940C9">
      <w:pPr>
        <w:pStyle w:val="Caption"/>
        <w:rPr>
          <w:b w:val="0"/>
          <w:i/>
          <w:color w:val="auto"/>
          <w:sz w:val="24"/>
        </w:rPr>
      </w:pPr>
      <w:r w:rsidRPr="002940C9">
        <w:rPr>
          <w:b w:val="0"/>
          <w:i/>
          <w:color w:val="auto"/>
          <w:sz w:val="24"/>
        </w:rPr>
        <w:t xml:space="preserve">Figure </w:t>
      </w:r>
      <w:r w:rsidRPr="002940C9">
        <w:rPr>
          <w:b w:val="0"/>
          <w:i/>
          <w:color w:val="auto"/>
          <w:sz w:val="24"/>
        </w:rPr>
        <w:fldChar w:fldCharType="begin"/>
      </w:r>
      <w:r w:rsidRPr="002940C9">
        <w:rPr>
          <w:b w:val="0"/>
          <w:i/>
          <w:color w:val="auto"/>
          <w:sz w:val="24"/>
        </w:rPr>
        <w:instrText xml:space="preserve"> SEQ Figure \* ARABIC </w:instrText>
      </w:r>
      <w:r w:rsidRPr="002940C9">
        <w:rPr>
          <w:b w:val="0"/>
          <w:i/>
          <w:color w:val="auto"/>
          <w:sz w:val="24"/>
        </w:rPr>
        <w:fldChar w:fldCharType="separate"/>
      </w:r>
      <w:r w:rsidRPr="002940C9">
        <w:rPr>
          <w:b w:val="0"/>
          <w:i/>
          <w:noProof/>
          <w:color w:val="auto"/>
          <w:sz w:val="24"/>
        </w:rPr>
        <w:t>1</w:t>
      </w:r>
      <w:r w:rsidRPr="002940C9">
        <w:rPr>
          <w:b w:val="0"/>
          <w:i/>
          <w:color w:val="auto"/>
          <w:sz w:val="24"/>
        </w:rPr>
        <w:fldChar w:fldCharType="end"/>
      </w:r>
      <w:r w:rsidRPr="002940C9">
        <w:rPr>
          <w:b w:val="0"/>
          <w:i/>
          <w:color w:val="auto"/>
          <w:sz w:val="24"/>
        </w:rPr>
        <w:t>: The effect of body position on heart rate</w:t>
      </w:r>
    </w:p>
    <w:p w:rsidR="002940C9" w:rsidRPr="002718FC" w:rsidRDefault="002940C9" w:rsidP="002718FC">
      <w:pPr>
        <w:spacing w:after="0"/>
        <w:ind w:firstLine="0"/>
        <w:contextualSpacing/>
        <w:rPr>
          <w:u w:val="single"/>
        </w:rPr>
      </w:pPr>
      <w:r w:rsidRPr="002718FC">
        <w:rPr>
          <w:u w:val="single"/>
        </w:rPr>
        <w:t>Discussion</w:t>
      </w:r>
    </w:p>
    <w:p w:rsidR="002940C9" w:rsidRDefault="002940C9" w:rsidP="002718FC">
      <w:pPr>
        <w:spacing w:after="0"/>
        <w:contextualSpacing/>
        <w:rPr>
          <w:rFonts w:cs="Times New Roman"/>
          <w:color w:val="1B1B1B"/>
          <w:szCs w:val="27"/>
          <w:shd w:val="clear" w:color="auto" w:fill="FFFFFF"/>
        </w:rPr>
      </w:pPr>
      <w:r>
        <w:t xml:space="preserve">The Purposes of this laboratory experiment was to investigate the effect of body position on heart rates. The experiment hypothesized that </w:t>
      </w:r>
      <w:r w:rsidR="00AB26F8">
        <w:rPr>
          <w:rFonts w:cs="Times New Roman"/>
          <w:color w:val="1B1B1B"/>
          <w:szCs w:val="27"/>
          <w:shd w:val="clear" w:color="auto" w:fill="FFFFFF"/>
        </w:rPr>
        <w:t>d</w:t>
      </w:r>
      <w:r w:rsidR="00AB26F8" w:rsidRPr="00AE5A05">
        <w:rPr>
          <w:rFonts w:cs="Times New Roman"/>
          <w:color w:val="1B1B1B"/>
          <w:szCs w:val="27"/>
          <w:shd w:val="clear" w:color="auto" w:fill="FFFFFF"/>
        </w:rPr>
        <w:t>ominant arm will have lower/higher force production than the non-do</w:t>
      </w:r>
      <w:r w:rsidR="00AB26F8">
        <w:rPr>
          <w:rFonts w:cs="Times New Roman"/>
          <w:color w:val="1B1B1B"/>
          <w:szCs w:val="27"/>
          <w:shd w:val="clear" w:color="auto" w:fill="FFFFFF"/>
        </w:rPr>
        <w:t>minant arm</w:t>
      </w:r>
      <w:r w:rsidR="00AB26F8">
        <w:rPr>
          <w:rFonts w:cs="Times New Roman"/>
          <w:color w:val="1B1B1B"/>
          <w:szCs w:val="27"/>
          <w:shd w:val="clear" w:color="auto" w:fill="FFFFFF"/>
        </w:rPr>
        <w:t xml:space="preserve"> and thus increased heart rates. This experiment showed a marked variation in heart rate along the different body positions.  As shown in figure 1, Supine position showed heightened blood pressure and heart rates. The rates decreased steadily with other body positions. </w:t>
      </w:r>
      <w:r w:rsidR="002718FC">
        <w:rPr>
          <w:rFonts w:cs="Times New Roman"/>
          <w:color w:val="1B1B1B"/>
          <w:szCs w:val="27"/>
          <w:shd w:val="clear" w:color="auto" w:fill="FFFFFF"/>
        </w:rPr>
        <w:t xml:space="preserve">Moving from supine to sitting increased venous pooling in lower extremities as the gravity increased and hence the increased heart rates. </w:t>
      </w:r>
    </w:p>
    <w:p w:rsidR="002718FC" w:rsidRDefault="002718FC" w:rsidP="002718FC">
      <w:pPr>
        <w:spacing w:after="0"/>
        <w:contextualSpacing/>
        <w:rPr>
          <w:rFonts w:cs="Times New Roman"/>
          <w:color w:val="1B1B1B"/>
          <w:szCs w:val="27"/>
          <w:shd w:val="clear" w:color="auto" w:fill="FFFFFF"/>
        </w:rPr>
      </w:pPr>
      <w:r>
        <w:rPr>
          <w:rFonts w:cs="Times New Roman"/>
          <w:color w:val="1B1B1B"/>
          <w:szCs w:val="27"/>
          <w:shd w:val="clear" w:color="auto" w:fill="FFFFFF"/>
        </w:rPr>
        <w:t xml:space="preserve">The limitations of this study were several. One, only one subject was used increasing the error rate. The second limitation for this study was the time interval between one </w:t>
      </w:r>
      <w:proofErr w:type="gramStart"/>
      <w:r>
        <w:rPr>
          <w:rFonts w:cs="Times New Roman"/>
          <w:color w:val="1B1B1B"/>
          <w:szCs w:val="27"/>
          <w:shd w:val="clear" w:color="auto" w:fill="FFFFFF"/>
        </w:rPr>
        <w:t>procedure</w:t>
      </w:r>
      <w:proofErr w:type="gramEnd"/>
      <w:r>
        <w:rPr>
          <w:rFonts w:cs="Times New Roman"/>
          <w:color w:val="1B1B1B"/>
          <w:szCs w:val="27"/>
          <w:shd w:val="clear" w:color="auto" w:fill="FFFFFF"/>
        </w:rPr>
        <w:t xml:space="preserve"> to </w:t>
      </w:r>
      <w:r>
        <w:rPr>
          <w:rFonts w:cs="Times New Roman"/>
          <w:color w:val="1B1B1B"/>
          <w:szCs w:val="27"/>
          <w:shd w:val="clear" w:color="auto" w:fill="FFFFFF"/>
        </w:rPr>
        <w:lastRenderedPageBreak/>
        <w:t>another. The short time of one minute between each practice did not give the blood flow a chance to stabilize.</w:t>
      </w:r>
    </w:p>
    <w:p w:rsidR="002718FC" w:rsidRPr="002718FC" w:rsidRDefault="002718FC" w:rsidP="002718FC">
      <w:pPr>
        <w:spacing w:after="0"/>
        <w:ind w:firstLine="0"/>
        <w:contextualSpacing/>
        <w:rPr>
          <w:rFonts w:cs="Times New Roman"/>
          <w:color w:val="1B1B1B"/>
          <w:szCs w:val="27"/>
          <w:u w:val="single"/>
          <w:shd w:val="clear" w:color="auto" w:fill="FFFFFF"/>
        </w:rPr>
      </w:pPr>
      <w:r w:rsidRPr="002718FC">
        <w:rPr>
          <w:rFonts w:cs="Times New Roman"/>
          <w:color w:val="1B1B1B"/>
          <w:szCs w:val="27"/>
          <w:u w:val="single"/>
          <w:shd w:val="clear" w:color="auto" w:fill="FFFFFF"/>
        </w:rPr>
        <w:t>References</w:t>
      </w:r>
    </w:p>
    <w:p w:rsidR="002718FC" w:rsidRPr="002718FC" w:rsidRDefault="002718FC" w:rsidP="002718FC">
      <w:pPr>
        <w:pStyle w:val="ListParagraph"/>
        <w:numPr>
          <w:ilvl w:val="0"/>
          <w:numId w:val="1"/>
        </w:numPr>
        <w:spacing w:after="0"/>
        <w:rPr>
          <w:rFonts w:cs="Times New Roman"/>
          <w:szCs w:val="24"/>
        </w:rPr>
      </w:pPr>
      <w:r w:rsidRPr="002718FC">
        <w:rPr>
          <w:rFonts w:cs="Times New Roman"/>
          <w:color w:val="222222"/>
          <w:szCs w:val="24"/>
          <w:shd w:val="clear" w:color="auto" w:fill="FFFFFF"/>
        </w:rPr>
        <w:t xml:space="preserve">Nishimura, Hironobu, and Masao Yamasaki. "Changes in blood pressure, blood flow towards the head and heart rate during 90 </w:t>
      </w:r>
      <w:proofErr w:type="spellStart"/>
      <w:r w:rsidRPr="002718FC">
        <w:rPr>
          <w:rFonts w:cs="Times New Roman"/>
          <w:color w:val="222222"/>
          <w:szCs w:val="24"/>
          <w:shd w:val="clear" w:color="auto" w:fill="FFFFFF"/>
        </w:rPr>
        <w:t>deg</w:t>
      </w:r>
      <w:proofErr w:type="spellEnd"/>
      <w:r w:rsidRPr="002718FC">
        <w:rPr>
          <w:rFonts w:cs="Times New Roman"/>
          <w:color w:val="222222"/>
          <w:szCs w:val="24"/>
          <w:shd w:val="clear" w:color="auto" w:fill="FFFFFF"/>
        </w:rPr>
        <w:t xml:space="preserve"> head‐up tilting for 30 min in anaesthetized male rats." </w:t>
      </w:r>
      <w:r w:rsidRPr="002718FC">
        <w:rPr>
          <w:rFonts w:cs="Times New Roman"/>
          <w:i/>
          <w:iCs/>
          <w:color w:val="222222"/>
          <w:szCs w:val="24"/>
          <w:shd w:val="clear" w:color="auto" w:fill="FFFFFF"/>
        </w:rPr>
        <w:t>Experimental physiology</w:t>
      </w:r>
      <w:r w:rsidRPr="002718FC">
        <w:rPr>
          <w:rFonts w:cs="Times New Roman"/>
          <w:color w:val="222222"/>
          <w:szCs w:val="24"/>
          <w:shd w:val="clear" w:color="auto" w:fill="FFFFFF"/>
        </w:rPr>
        <w:t> 103.1 (2018): 31-39.</w:t>
      </w:r>
    </w:p>
    <w:p w:rsidR="002718FC" w:rsidRPr="002718FC" w:rsidRDefault="002718FC" w:rsidP="002718FC">
      <w:pPr>
        <w:pStyle w:val="ListParagraph"/>
        <w:numPr>
          <w:ilvl w:val="0"/>
          <w:numId w:val="1"/>
        </w:numPr>
        <w:spacing w:after="0"/>
        <w:rPr>
          <w:rFonts w:cs="Times New Roman"/>
          <w:color w:val="222222"/>
          <w:szCs w:val="24"/>
          <w:shd w:val="clear" w:color="auto" w:fill="FFFFFF"/>
        </w:rPr>
      </w:pPr>
      <w:proofErr w:type="spellStart"/>
      <w:r w:rsidRPr="002718FC">
        <w:rPr>
          <w:rFonts w:cs="Times New Roman"/>
          <w:color w:val="222222"/>
          <w:szCs w:val="24"/>
          <w:shd w:val="clear" w:color="auto" w:fill="FFFFFF"/>
        </w:rPr>
        <w:t>Olufsen</w:t>
      </w:r>
      <w:proofErr w:type="spellEnd"/>
      <w:r w:rsidRPr="002718FC">
        <w:rPr>
          <w:rFonts w:cs="Times New Roman"/>
          <w:color w:val="222222"/>
          <w:szCs w:val="24"/>
          <w:shd w:val="clear" w:color="auto" w:fill="FFFFFF"/>
        </w:rPr>
        <w:t xml:space="preserve">, </w:t>
      </w:r>
      <w:proofErr w:type="spellStart"/>
      <w:r w:rsidRPr="002718FC">
        <w:rPr>
          <w:rFonts w:cs="Times New Roman"/>
          <w:color w:val="222222"/>
          <w:szCs w:val="24"/>
          <w:shd w:val="clear" w:color="auto" w:fill="FFFFFF"/>
        </w:rPr>
        <w:t>Mette</w:t>
      </w:r>
      <w:proofErr w:type="spellEnd"/>
      <w:r w:rsidRPr="002718FC">
        <w:rPr>
          <w:rFonts w:cs="Times New Roman"/>
          <w:color w:val="222222"/>
          <w:szCs w:val="24"/>
          <w:shd w:val="clear" w:color="auto" w:fill="FFFFFF"/>
        </w:rPr>
        <w:t xml:space="preserve"> S., et al. "Blood pressure and blood flow variation during postural change from sitting to standing: model development and validation." </w:t>
      </w:r>
      <w:r w:rsidRPr="002718FC">
        <w:rPr>
          <w:rFonts w:cs="Times New Roman"/>
          <w:i/>
          <w:iCs/>
          <w:color w:val="222222"/>
          <w:szCs w:val="24"/>
          <w:shd w:val="clear" w:color="auto" w:fill="FFFFFF"/>
        </w:rPr>
        <w:t>Journal of applied physiology</w:t>
      </w:r>
      <w:r w:rsidRPr="002718FC">
        <w:rPr>
          <w:rFonts w:cs="Times New Roman"/>
          <w:color w:val="222222"/>
          <w:szCs w:val="24"/>
          <w:shd w:val="clear" w:color="auto" w:fill="FFFFFF"/>
        </w:rPr>
        <w:t> 99.4 (2005): 1523-1537.</w:t>
      </w:r>
    </w:p>
    <w:sectPr w:rsidR="002718FC" w:rsidRPr="002718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503535"/>
    <w:multiLevelType w:val="hybridMultilevel"/>
    <w:tmpl w:val="EB90A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A05"/>
    <w:rsid w:val="002718FC"/>
    <w:rsid w:val="002940C9"/>
    <w:rsid w:val="006D7C5A"/>
    <w:rsid w:val="006F41E9"/>
    <w:rsid w:val="00AB26F8"/>
    <w:rsid w:val="00AE5A05"/>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40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40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0C9"/>
    <w:rPr>
      <w:rFonts w:ascii="Tahoma" w:hAnsi="Tahoma" w:cs="Tahoma"/>
      <w:sz w:val="16"/>
      <w:szCs w:val="16"/>
    </w:rPr>
  </w:style>
  <w:style w:type="paragraph" w:styleId="Caption">
    <w:name w:val="caption"/>
    <w:basedOn w:val="Normal"/>
    <w:next w:val="Normal"/>
    <w:uiPriority w:val="35"/>
    <w:unhideWhenUsed/>
    <w:qFormat/>
    <w:rsid w:val="002940C9"/>
    <w:pPr>
      <w:spacing w:line="240" w:lineRule="auto"/>
    </w:pPr>
    <w:rPr>
      <w:b/>
      <w:bCs/>
      <w:color w:val="4F81BD" w:themeColor="accent1"/>
      <w:sz w:val="18"/>
      <w:szCs w:val="18"/>
    </w:rPr>
  </w:style>
  <w:style w:type="paragraph" w:styleId="ListParagraph">
    <w:name w:val="List Paragraph"/>
    <w:basedOn w:val="Normal"/>
    <w:uiPriority w:val="34"/>
    <w:qFormat/>
    <w:rsid w:val="002718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40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40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40C9"/>
    <w:rPr>
      <w:rFonts w:ascii="Tahoma" w:hAnsi="Tahoma" w:cs="Tahoma"/>
      <w:sz w:val="16"/>
      <w:szCs w:val="16"/>
    </w:rPr>
  </w:style>
  <w:style w:type="paragraph" w:styleId="Caption">
    <w:name w:val="caption"/>
    <w:basedOn w:val="Normal"/>
    <w:next w:val="Normal"/>
    <w:uiPriority w:val="35"/>
    <w:unhideWhenUsed/>
    <w:qFormat/>
    <w:rsid w:val="002940C9"/>
    <w:pPr>
      <w:spacing w:line="240" w:lineRule="auto"/>
    </w:pPr>
    <w:rPr>
      <w:b/>
      <w:bCs/>
      <w:color w:val="4F81BD" w:themeColor="accent1"/>
      <w:sz w:val="18"/>
      <w:szCs w:val="18"/>
    </w:rPr>
  </w:style>
  <w:style w:type="paragraph" w:styleId="ListParagraph">
    <w:name w:val="List Paragraph"/>
    <w:basedOn w:val="Normal"/>
    <w:uiPriority w:val="34"/>
    <w:qFormat/>
    <w:rsid w:val="00271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barChart>
        <c:barDir val="col"/>
        <c:grouping val="clustered"/>
        <c:varyColors val="0"/>
        <c:ser>
          <c:idx val="0"/>
          <c:order val="0"/>
          <c:tx>
            <c:strRef>
              <c:f>Sheet1!$B$1</c:f>
              <c:strCache>
                <c:ptCount val="1"/>
                <c:pt idx="0">
                  <c:v>SBP</c:v>
                </c:pt>
              </c:strCache>
            </c:strRef>
          </c:tx>
          <c:invertIfNegative val="0"/>
          <c:cat>
            <c:strRef>
              <c:f>Sheet1!$A$2:$A$6</c:f>
              <c:strCache>
                <c:ptCount val="5"/>
                <c:pt idx="0">
                  <c:v>Supine</c:v>
                </c:pt>
                <c:pt idx="1">
                  <c:v>Sitting</c:v>
                </c:pt>
                <c:pt idx="2">
                  <c:v>Sitting+1</c:v>
                </c:pt>
                <c:pt idx="3">
                  <c:v>Standing</c:v>
                </c:pt>
                <c:pt idx="4">
                  <c:v>Standing+1</c:v>
                </c:pt>
              </c:strCache>
            </c:strRef>
          </c:cat>
          <c:val>
            <c:numRef>
              <c:f>Sheet1!$B$2:$B$6</c:f>
              <c:numCache>
                <c:formatCode>General</c:formatCode>
                <c:ptCount val="5"/>
                <c:pt idx="0">
                  <c:v>110</c:v>
                </c:pt>
                <c:pt idx="1">
                  <c:v>100</c:v>
                </c:pt>
                <c:pt idx="2">
                  <c:v>106</c:v>
                </c:pt>
                <c:pt idx="3">
                  <c:v>93</c:v>
                </c:pt>
                <c:pt idx="4">
                  <c:v>110</c:v>
                </c:pt>
              </c:numCache>
            </c:numRef>
          </c:val>
        </c:ser>
        <c:ser>
          <c:idx val="1"/>
          <c:order val="1"/>
          <c:tx>
            <c:strRef>
              <c:f>Sheet1!$C$1</c:f>
              <c:strCache>
                <c:ptCount val="1"/>
                <c:pt idx="0">
                  <c:v>DBP</c:v>
                </c:pt>
              </c:strCache>
            </c:strRef>
          </c:tx>
          <c:invertIfNegative val="0"/>
          <c:cat>
            <c:strRef>
              <c:f>Sheet1!$A$2:$A$6</c:f>
              <c:strCache>
                <c:ptCount val="5"/>
                <c:pt idx="0">
                  <c:v>Supine</c:v>
                </c:pt>
                <c:pt idx="1">
                  <c:v>Sitting</c:v>
                </c:pt>
                <c:pt idx="2">
                  <c:v>Sitting+1</c:v>
                </c:pt>
                <c:pt idx="3">
                  <c:v>Standing</c:v>
                </c:pt>
                <c:pt idx="4">
                  <c:v>Standing+1</c:v>
                </c:pt>
              </c:strCache>
            </c:strRef>
          </c:cat>
          <c:val>
            <c:numRef>
              <c:f>Sheet1!$C$2:$C$6</c:f>
              <c:numCache>
                <c:formatCode>General</c:formatCode>
                <c:ptCount val="5"/>
                <c:pt idx="0">
                  <c:v>70</c:v>
                </c:pt>
                <c:pt idx="1">
                  <c:v>71</c:v>
                </c:pt>
                <c:pt idx="2">
                  <c:v>73</c:v>
                </c:pt>
                <c:pt idx="3">
                  <c:v>72</c:v>
                </c:pt>
                <c:pt idx="4">
                  <c:v>75</c:v>
                </c:pt>
              </c:numCache>
            </c:numRef>
          </c:val>
        </c:ser>
        <c:ser>
          <c:idx val="2"/>
          <c:order val="2"/>
          <c:tx>
            <c:strRef>
              <c:f>Sheet1!$D$1</c:f>
              <c:strCache>
                <c:ptCount val="1"/>
                <c:pt idx="0">
                  <c:v>MAP</c:v>
                </c:pt>
              </c:strCache>
            </c:strRef>
          </c:tx>
          <c:invertIfNegative val="0"/>
          <c:cat>
            <c:strRef>
              <c:f>Sheet1!$A$2:$A$6</c:f>
              <c:strCache>
                <c:ptCount val="5"/>
                <c:pt idx="0">
                  <c:v>Supine</c:v>
                </c:pt>
                <c:pt idx="1">
                  <c:v>Sitting</c:v>
                </c:pt>
                <c:pt idx="2">
                  <c:v>Sitting+1</c:v>
                </c:pt>
                <c:pt idx="3">
                  <c:v>Standing</c:v>
                </c:pt>
                <c:pt idx="4">
                  <c:v>Standing+1</c:v>
                </c:pt>
              </c:strCache>
            </c:strRef>
          </c:cat>
          <c:val>
            <c:numRef>
              <c:f>Sheet1!$D$2:$D$6</c:f>
              <c:numCache>
                <c:formatCode>General</c:formatCode>
                <c:ptCount val="5"/>
                <c:pt idx="0">
                  <c:v>83</c:v>
                </c:pt>
                <c:pt idx="1">
                  <c:v>81</c:v>
                </c:pt>
                <c:pt idx="2">
                  <c:v>84</c:v>
                </c:pt>
                <c:pt idx="3">
                  <c:v>80</c:v>
                </c:pt>
                <c:pt idx="4">
                  <c:v>87</c:v>
                </c:pt>
              </c:numCache>
            </c:numRef>
          </c:val>
        </c:ser>
        <c:ser>
          <c:idx val="3"/>
          <c:order val="3"/>
          <c:tx>
            <c:strRef>
              <c:f>Sheet1!$E$1</c:f>
              <c:strCache>
                <c:ptCount val="1"/>
                <c:pt idx="0">
                  <c:v>HR</c:v>
                </c:pt>
              </c:strCache>
            </c:strRef>
          </c:tx>
          <c:invertIfNegative val="0"/>
          <c:cat>
            <c:strRef>
              <c:f>Sheet1!$A$2:$A$6</c:f>
              <c:strCache>
                <c:ptCount val="5"/>
                <c:pt idx="0">
                  <c:v>Supine</c:v>
                </c:pt>
                <c:pt idx="1">
                  <c:v>Sitting</c:v>
                </c:pt>
                <c:pt idx="2">
                  <c:v>Sitting+1</c:v>
                </c:pt>
                <c:pt idx="3">
                  <c:v>Standing</c:v>
                </c:pt>
                <c:pt idx="4">
                  <c:v>Standing+1</c:v>
                </c:pt>
              </c:strCache>
            </c:strRef>
          </c:cat>
          <c:val>
            <c:numRef>
              <c:f>Sheet1!$E$2:$E$6</c:f>
              <c:numCache>
                <c:formatCode>General</c:formatCode>
                <c:ptCount val="5"/>
                <c:pt idx="0">
                  <c:v>40</c:v>
                </c:pt>
                <c:pt idx="1">
                  <c:v>42</c:v>
                </c:pt>
                <c:pt idx="2">
                  <c:v>50</c:v>
                </c:pt>
                <c:pt idx="3">
                  <c:v>51</c:v>
                </c:pt>
                <c:pt idx="4">
                  <c:v>60</c:v>
                </c:pt>
              </c:numCache>
            </c:numRef>
          </c:val>
        </c:ser>
        <c:dLbls>
          <c:showLegendKey val="0"/>
          <c:showVal val="0"/>
          <c:showCatName val="0"/>
          <c:showSerName val="0"/>
          <c:showPercent val="0"/>
          <c:showBubbleSize val="0"/>
        </c:dLbls>
        <c:gapWidth val="150"/>
        <c:axId val="316996992"/>
        <c:axId val="317618048"/>
      </c:barChart>
      <c:catAx>
        <c:axId val="316996992"/>
        <c:scaling>
          <c:orientation val="minMax"/>
        </c:scaling>
        <c:delete val="0"/>
        <c:axPos val="b"/>
        <c:majorTickMark val="out"/>
        <c:minorTickMark val="none"/>
        <c:tickLblPos val="nextTo"/>
        <c:crossAx val="317618048"/>
        <c:crosses val="autoZero"/>
        <c:auto val="1"/>
        <c:lblAlgn val="ctr"/>
        <c:lblOffset val="100"/>
        <c:noMultiLvlLbl val="0"/>
      </c:catAx>
      <c:valAx>
        <c:axId val="317618048"/>
        <c:scaling>
          <c:orientation val="minMax"/>
        </c:scaling>
        <c:delete val="0"/>
        <c:axPos val="l"/>
        <c:majorGridlines/>
        <c:numFmt formatCode="General" sourceLinked="1"/>
        <c:majorTickMark val="out"/>
        <c:minorTickMark val="none"/>
        <c:tickLblPos val="nextTo"/>
        <c:crossAx val="31699699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96EAE-6AE0-4573-89BB-99DF36F8F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2018-08-02T18:10:00Z</dcterms:created>
  <dcterms:modified xsi:type="dcterms:W3CDTF">2018-08-02T18:10:00Z</dcterms:modified>
</cp:coreProperties>
</file>